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23" w:rsidRPr="0081054B" w:rsidRDefault="00707123" w:rsidP="0081054B">
      <w:pPr>
        <w:spacing w:before="360" w:after="240"/>
        <w:jc w:val="center"/>
        <w:rPr>
          <w:rFonts w:cs="Times New Roman"/>
          <w:szCs w:val="24"/>
        </w:rPr>
      </w:pPr>
    </w:p>
    <w:p w:rsidR="00707123" w:rsidRPr="0081054B" w:rsidRDefault="00707123" w:rsidP="0081054B">
      <w:pPr>
        <w:spacing w:before="360" w:after="240"/>
        <w:jc w:val="center"/>
        <w:rPr>
          <w:rFonts w:cs="Times New Roman"/>
          <w:szCs w:val="24"/>
        </w:rPr>
      </w:pPr>
    </w:p>
    <w:p w:rsidR="00707123" w:rsidRPr="0081054B" w:rsidRDefault="00707123" w:rsidP="0081054B">
      <w:pPr>
        <w:spacing w:before="360" w:after="240"/>
        <w:jc w:val="center"/>
        <w:rPr>
          <w:rFonts w:cs="Times New Roman"/>
          <w:szCs w:val="24"/>
        </w:rPr>
      </w:pPr>
    </w:p>
    <w:p w:rsidR="00707123" w:rsidRPr="0081054B" w:rsidRDefault="00707123" w:rsidP="0081054B">
      <w:pPr>
        <w:spacing w:before="360" w:after="240"/>
        <w:jc w:val="center"/>
        <w:rPr>
          <w:rFonts w:cs="Times New Roman"/>
          <w:szCs w:val="24"/>
        </w:rPr>
      </w:pPr>
    </w:p>
    <w:p w:rsidR="00707123" w:rsidRPr="0081054B" w:rsidRDefault="00707123" w:rsidP="0081054B">
      <w:pPr>
        <w:spacing w:before="360" w:after="240"/>
        <w:jc w:val="center"/>
        <w:rPr>
          <w:rFonts w:cs="Times New Roman"/>
          <w:szCs w:val="24"/>
        </w:rPr>
      </w:pPr>
    </w:p>
    <w:p w:rsidR="00707123" w:rsidRPr="0081054B" w:rsidRDefault="00707123" w:rsidP="0081054B">
      <w:pPr>
        <w:spacing w:before="360" w:after="240"/>
        <w:jc w:val="center"/>
        <w:rPr>
          <w:rFonts w:cs="Times New Roman"/>
          <w:szCs w:val="24"/>
        </w:rPr>
      </w:pPr>
    </w:p>
    <w:p w:rsidR="000A6434" w:rsidRPr="0081054B" w:rsidRDefault="00707123" w:rsidP="0081054B">
      <w:pPr>
        <w:spacing w:before="360" w:after="240"/>
        <w:jc w:val="center"/>
        <w:rPr>
          <w:rFonts w:cs="Times New Roman"/>
          <w:szCs w:val="24"/>
        </w:rPr>
      </w:pPr>
      <w:bookmarkStart w:id="0" w:name="_GoBack"/>
      <w:r w:rsidRPr="0081054B">
        <w:rPr>
          <w:rFonts w:cs="Times New Roman"/>
          <w:szCs w:val="24"/>
        </w:rPr>
        <w:t>Interoperability in Healthcare</w:t>
      </w:r>
    </w:p>
    <w:bookmarkEnd w:id="0"/>
    <w:p w:rsidR="00707123" w:rsidRPr="0081054B" w:rsidRDefault="00707123" w:rsidP="0081054B">
      <w:pPr>
        <w:spacing w:before="360" w:after="240"/>
        <w:jc w:val="center"/>
        <w:rPr>
          <w:rFonts w:cs="Times New Roman"/>
          <w:szCs w:val="24"/>
        </w:rPr>
      </w:pPr>
      <w:r w:rsidRPr="0081054B">
        <w:rPr>
          <w:rFonts w:cs="Times New Roman"/>
          <w:szCs w:val="24"/>
        </w:rPr>
        <w:t>Student’s Name</w:t>
      </w:r>
    </w:p>
    <w:p w:rsidR="00707123" w:rsidRPr="0081054B" w:rsidRDefault="00707123" w:rsidP="0081054B">
      <w:pPr>
        <w:spacing w:before="360" w:after="240"/>
        <w:jc w:val="center"/>
        <w:rPr>
          <w:rFonts w:cs="Times New Roman"/>
          <w:szCs w:val="24"/>
        </w:rPr>
      </w:pPr>
      <w:r w:rsidRPr="0081054B">
        <w:rPr>
          <w:rFonts w:cs="Times New Roman"/>
          <w:szCs w:val="24"/>
        </w:rPr>
        <w:t>Institution</w:t>
      </w:r>
    </w:p>
    <w:p w:rsidR="00707123" w:rsidRPr="0081054B" w:rsidRDefault="00707123" w:rsidP="0081054B">
      <w:pPr>
        <w:spacing w:before="360" w:after="240"/>
        <w:jc w:val="center"/>
        <w:rPr>
          <w:rFonts w:cs="Times New Roman"/>
          <w:szCs w:val="24"/>
        </w:rPr>
      </w:pPr>
      <w:r w:rsidRPr="0081054B">
        <w:rPr>
          <w:rFonts w:cs="Times New Roman"/>
          <w:szCs w:val="24"/>
        </w:rPr>
        <w:t>Date</w:t>
      </w:r>
    </w:p>
    <w:p w:rsidR="00707123" w:rsidRPr="0081054B" w:rsidRDefault="00707123" w:rsidP="0081054B">
      <w:pPr>
        <w:spacing w:before="360" w:after="240"/>
        <w:rPr>
          <w:rFonts w:cs="Times New Roman"/>
          <w:szCs w:val="24"/>
        </w:rPr>
      </w:pPr>
      <w:r w:rsidRPr="0081054B">
        <w:rPr>
          <w:rFonts w:cs="Times New Roman"/>
          <w:szCs w:val="24"/>
        </w:rPr>
        <w:br w:type="page"/>
      </w:r>
    </w:p>
    <w:p w:rsidR="00707123" w:rsidRPr="0081054B" w:rsidRDefault="00707123" w:rsidP="0081054B">
      <w:pPr>
        <w:spacing w:before="360" w:after="240"/>
        <w:jc w:val="center"/>
        <w:rPr>
          <w:rFonts w:cs="Times New Roman"/>
          <w:szCs w:val="24"/>
        </w:rPr>
      </w:pPr>
      <w:r w:rsidRPr="0081054B">
        <w:rPr>
          <w:rFonts w:cs="Times New Roman"/>
          <w:szCs w:val="24"/>
        </w:rPr>
        <w:lastRenderedPageBreak/>
        <w:t>Interoperability in Healthcare</w:t>
      </w:r>
    </w:p>
    <w:p w:rsidR="00707123" w:rsidRPr="0081054B" w:rsidRDefault="00707123" w:rsidP="0081054B">
      <w:pPr>
        <w:spacing w:before="360" w:after="240"/>
        <w:rPr>
          <w:rFonts w:cs="Times New Roman"/>
          <w:b/>
          <w:szCs w:val="24"/>
        </w:rPr>
      </w:pPr>
      <w:r w:rsidRPr="0081054B">
        <w:rPr>
          <w:rFonts w:cs="Times New Roman"/>
          <w:b/>
          <w:szCs w:val="24"/>
        </w:rPr>
        <w:t>Introduction</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Interoperability in the healthcare setting refers to the ability of health information systems to work unitedly within and across boundaries of the organization to advance the effective delivery of healthcare for patients and communities. It is important in healthcare since it helps various information technology systems have effective communication and interchangeable data. Thus providers can have ease of access to every data for the patients they treat. The paper seeks to demystify the benefits, challenges, safety acceptance, and the future of interoperability in healthcare.</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In the modern world, health facilities aim to improve their delivery of health care services to ensure that high-quality standards are met. The clinical environment is significantly convoluted and multifaceted since disparate practices in every setting characterize it. This is because technologies being utilized within the healthcare setting have been developed with their priorities. However, interoperability seeks to alleviate the complexities and manual steps regarding technology use (Frazier, 2020). It ensures that the essential information is availed to health care providers to make informed decisions when delivering care. Health providers with ready access to patients' information are better placed to make informed decisions vital for providing quality healthcare services.</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t>Pros of Interoperability in healthcare</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lastRenderedPageBreak/>
        <w:t>Interoperability in healthcare has myriad benefits. Foremost, it helps safeguard patient data. The priority of a health facility is to protect patient privacy and secure their sensitive data. The Electronic Health Record (EHR) system is an interoperability example where patients' information is safely stored and can only be accessed by authorized users such as health practitioners. This ensures that patient data is not pilfered and accessed by criminal hackers. Also, interoperability within healthcare improves staff productivity (</w:t>
      </w:r>
      <w:proofErr w:type="spellStart"/>
      <w:r w:rsidRPr="0081054B">
        <w:rPr>
          <w:rFonts w:eastAsia="Times New Roman" w:cs="Times New Roman"/>
          <w:color w:val="0E101A"/>
          <w:szCs w:val="24"/>
        </w:rPr>
        <w:t>Aalami</w:t>
      </w:r>
      <w:proofErr w:type="spellEnd"/>
      <w:r w:rsidRPr="0081054B">
        <w:rPr>
          <w:rFonts w:eastAsia="Times New Roman" w:cs="Times New Roman"/>
          <w:color w:val="0E101A"/>
          <w:szCs w:val="24"/>
        </w:rPr>
        <w:t>, Ingraham, &amp; Arya, 2021). When computer systems and databases are set up for interoperability, a significant increase in productivity can be noticed—processing documents and lowering the redundant data entered into databases and computer systems. Also, the staff saves time working on digital documents when finding and updating health records. Besides, interoperability engenders a better experience for patients. This is demonstrated through the reduction in paperwork since digital records are being actively used. In this essence, patients will not have to fill out repetitive forms when they have visited health facilities. On the other hand, staff will be relieved from constantly rekeying patient information from manual records into the database. Interoperability in healthcare has all-inclusive benefits enjoyed by the patients and medical staff.</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t>Cons of Interoperability in healthcare </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 xml:space="preserve">Even though interoperability in healthcare has a vast array of benefits, it is faced with some challenges. Firstly, it has a lack of consistency when identifying patients. Contemporarily, there is inconsistency in the identification of patients across the healthcare spectrum. Some ways of storing patients' information are through their names, dates of birth, and Social Security number. However, every instance of storing information in these ways in various systems can result in patient identification errors. Secondly, interoperability in healthcare is marred by a lack </w:t>
      </w:r>
      <w:r w:rsidRPr="0081054B">
        <w:rPr>
          <w:rFonts w:eastAsia="Times New Roman" w:cs="Times New Roman"/>
          <w:color w:val="0E101A"/>
          <w:szCs w:val="24"/>
        </w:rPr>
        <w:lastRenderedPageBreak/>
        <w:t>of standards for sending, receiving, and managing information between health systems. The current healthcare technology provided by vendors does not guarantee to copy or sharing information from one EHR system to the other. When there are mismatched fonts and proprietary formats, data must be manipulated and sanitized before imported into a new system. </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Thirdly, it isn't easy to measure, analyze and improve interoperability between healthcare systems. Health providers, payers, and vendor partners face the challenge of lacking standardized ways of measuring the effect of interoperability delays and failure. Fourthly, some EHR vendors may engage in information blocking. Healthcare interoperability faces the challenge of information blocking by vendors. Lack of shared data in healthcare is a menace that may compromise data sharing between healthcare providers. Some EHR vendors may impose charges on data sharing through their telecommunication platforms. Hence, the vendors may block the sharing of patients' health information when the health providers have not paid for the data's cost of storage.</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t>Acceptance of interoperability in healthcare</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Many health facilities have embraced the integration of interoperability within their operations. Interoperability in healthcare has various benefits that have made it to be highly accepted in healthcare facilities. For example, it has helped in the effective sharing of data between patients and health care providers. EHR interoperability has immeasurably enhanced the dissemination of health information as providers can access patient data and provide them with essential healthcare services. Also, in the modern world, where technology is highly revered, many health organizations have embraced telemedicine (</w:t>
      </w:r>
      <w:proofErr w:type="spellStart"/>
      <w:r w:rsidRPr="0081054B">
        <w:rPr>
          <w:rFonts w:eastAsia="Times New Roman" w:cs="Times New Roman"/>
          <w:color w:val="0E101A"/>
          <w:szCs w:val="24"/>
        </w:rPr>
        <w:t>Krey</w:t>
      </w:r>
      <w:proofErr w:type="spellEnd"/>
      <w:r w:rsidRPr="0081054B">
        <w:rPr>
          <w:rFonts w:eastAsia="Times New Roman" w:cs="Times New Roman"/>
          <w:color w:val="0E101A"/>
          <w:szCs w:val="24"/>
        </w:rPr>
        <w:t xml:space="preserve">, 2020). Thus offering medical health services has inspired the acceptance of interoperability within healthcare. Health </w:t>
      </w:r>
      <w:r w:rsidRPr="0081054B">
        <w:rPr>
          <w:rFonts w:eastAsia="Times New Roman" w:cs="Times New Roman"/>
          <w:color w:val="0E101A"/>
          <w:szCs w:val="24"/>
        </w:rPr>
        <w:lastRenderedPageBreak/>
        <w:t>organizations have improved healthcare IT systems according to the interoperability standards to ensure that patient data can be safely stored and accessed by authorized users. The stored patients' health information has helped providers retrieve the necessary data on patients and make informed caregiving decisions.</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t>Safety of Interoperability in Healthcare</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Interoperability in healthcare has the primary advantage of helping to safeguard patient data. EHR systems are vital in ensuring that patients' privacy and safety are protected. They do so by securing the sensitive data for patients, thereby helping prevent possible pilferage of patients' health information to criminal hackers. Besides, the EHR systems have significantly transformed health care. They have improved efficiencies and lowered healthcare costs by promoting preventive medicine, reduced redundant waste, and bolstered coordination of health care services (Garfield et al., 2020).</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Additionally, interoperability in healthcare has bettered healthcare by advancing various aspects of patients encompassing communication, timeliness, education, safety, and patient-centeredness. However, it is crucial for healthcare interoperability challenges to be addressed by health organizations seeking to integrate them. Some of the challenges that interoperability in healthcare faces include lack of patient identification across Health Information Exchange (HIEs), lack of payer taking part in sharing data, high cost of its integration, and lack of communication standards across different electronic health records (EHR).</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t>The Future of Robotics in Surgery</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lastRenderedPageBreak/>
        <w:t>Artificial intelligence and robotics have, over the years, become integrated into institutions. In healthcare, robotic surgery has immeasurably grown and is being utilized in offering healthcare services to patients. It was initially developed to perform surgery on casualties on the battlefield. Contemporarily, robotic surgery is regarded as the most sophisticated tool utilized by surgeons in health institutions. Robotic surgery entails the surgeon operating on two joysticks as the surgeon sits at a console (</w:t>
      </w:r>
      <w:proofErr w:type="spellStart"/>
      <w:r w:rsidRPr="0081054B">
        <w:rPr>
          <w:rFonts w:eastAsia="Times New Roman" w:cs="Times New Roman"/>
          <w:color w:val="0E101A"/>
          <w:szCs w:val="24"/>
        </w:rPr>
        <w:t>Balasubramanian</w:t>
      </w:r>
      <w:proofErr w:type="spellEnd"/>
      <w:r w:rsidRPr="0081054B">
        <w:rPr>
          <w:rFonts w:eastAsia="Times New Roman" w:cs="Times New Roman"/>
          <w:color w:val="0E101A"/>
          <w:szCs w:val="24"/>
        </w:rPr>
        <w:t xml:space="preserve"> et al., 2020). It enables detailed, tremor-free surgery while also having the added benefits of a minimally-invasive technique. Hence, the surgeons' wrist movements become replicated in the bodies of patients with the help of robotic instruments enabling surgeries to be conducted. Surgeons directly control the instruments. After getting approval from the United States Food and Drug Administration (US FDA) in 2000, approximately five million procedures have been conducted through Intuitive </w:t>
      </w:r>
      <w:proofErr w:type="spellStart"/>
      <w:r w:rsidRPr="0081054B">
        <w:rPr>
          <w:rFonts w:eastAsia="Times New Roman" w:cs="Times New Roman"/>
          <w:color w:val="0E101A"/>
          <w:szCs w:val="24"/>
        </w:rPr>
        <w:t>Surgical's</w:t>
      </w:r>
      <w:proofErr w:type="spellEnd"/>
      <w:r w:rsidRPr="0081054B">
        <w:rPr>
          <w:rFonts w:eastAsia="Times New Roman" w:cs="Times New Roman"/>
          <w:color w:val="0E101A"/>
          <w:szCs w:val="24"/>
        </w:rPr>
        <w:t xml:space="preserve"> da Vinci.</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The system has been led to multiple advances, and the future of robotic surgery is sensational. Robotic surgery has various advantages. Foremost, it will shorten hospital stays for patients. Also, it ensures that patients lose less blood. Robotic surgery has increased precision to ensure more accurate replacements of joints Ahern et al., 2020).</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Furthermore, it ensures less risk of infection during surgeries and reduced post-surgery pain. Tellingly, with the myriad advantages of robotic surgery in healthcare, many health organizations will seek to integrate the tool into their surgical operations. However, robotic surgery has the drawback of added costs linked with it. Various companies have engaged in further developments seeking to spur increased competition, resulting in extensive adoption of robotic surgery.</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b/>
          <w:bCs/>
          <w:color w:val="0E101A"/>
          <w:szCs w:val="24"/>
        </w:rPr>
        <w:lastRenderedPageBreak/>
        <w:t>Recommendations</w:t>
      </w:r>
    </w:p>
    <w:p w:rsidR="0081054B" w:rsidRPr="0081054B" w:rsidRDefault="0081054B" w:rsidP="0081054B">
      <w:pPr>
        <w:spacing w:before="360" w:after="240"/>
        <w:rPr>
          <w:rFonts w:eastAsia="Times New Roman" w:cs="Times New Roman"/>
          <w:color w:val="0E101A"/>
          <w:szCs w:val="24"/>
        </w:rPr>
      </w:pPr>
      <w:r w:rsidRPr="0081054B">
        <w:rPr>
          <w:rFonts w:eastAsia="Times New Roman" w:cs="Times New Roman"/>
          <w:color w:val="0E101A"/>
          <w:szCs w:val="24"/>
        </w:rPr>
        <w:t>To successfully introduce interoperability within the hospital as the CEO, you should integrate various elements:</w:t>
      </w:r>
    </w:p>
    <w:p w:rsidR="0081054B" w:rsidRPr="0081054B" w:rsidRDefault="0081054B" w:rsidP="0081054B">
      <w:pPr>
        <w:spacing w:before="360" w:after="240"/>
        <w:ind w:firstLine="720"/>
        <w:rPr>
          <w:rFonts w:eastAsia="Times New Roman" w:cs="Times New Roman"/>
          <w:b/>
          <w:color w:val="0E101A"/>
          <w:szCs w:val="24"/>
        </w:rPr>
      </w:pPr>
      <w:r w:rsidRPr="0081054B">
        <w:rPr>
          <w:rFonts w:eastAsia="Times New Roman" w:cs="Times New Roman"/>
          <w:b/>
          <w:color w:val="0E101A"/>
          <w:szCs w:val="24"/>
        </w:rPr>
        <w:t>Adopt and optimize EHRs as well as HIEs</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 xml:space="preserve">For the hospital to achieve interoperability, there is a need to adapt and optimize electronic health records (EHR) and Health Information Exchange (HIE) services. Electronic health records can be exchanged and utilized instantaneously and securely by certified users from various locations (Agrawal, &amp; </w:t>
      </w:r>
      <w:proofErr w:type="spellStart"/>
      <w:r w:rsidRPr="0081054B">
        <w:rPr>
          <w:rFonts w:eastAsia="Times New Roman" w:cs="Times New Roman"/>
          <w:color w:val="0E101A"/>
          <w:szCs w:val="24"/>
        </w:rPr>
        <w:t>Prabakaran</w:t>
      </w:r>
      <w:proofErr w:type="spellEnd"/>
      <w:r w:rsidRPr="0081054B">
        <w:rPr>
          <w:rFonts w:eastAsia="Times New Roman" w:cs="Times New Roman"/>
          <w:color w:val="0E101A"/>
          <w:szCs w:val="24"/>
        </w:rPr>
        <w:t>, 2020). This is favorable for better coordination of care to patients by health professionals.</w:t>
      </w:r>
    </w:p>
    <w:p w:rsidR="0081054B" w:rsidRPr="0081054B" w:rsidRDefault="0081054B" w:rsidP="0081054B">
      <w:pPr>
        <w:spacing w:before="360" w:after="240"/>
        <w:ind w:firstLine="720"/>
        <w:rPr>
          <w:rFonts w:eastAsia="Times New Roman" w:cs="Times New Roman"/>
          <w:b/>
          <w:color w:val="0E101A"/>
          <w:szCs w:val="24"/>
        </w:rPr>
      </w:pPr>
      <w:r w:rsidRPr="0081054B">
        <w:rPr>
          <w:rFonts w:eastAsia="Times New Roman" w:cs="Times New Roman"/>
          <w:b/>
          <w:color w:val="0E101A"/>
          <w:szCs w:val="24"/>
        </w:rPr>
        <w:t>Standards</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The health organization should identify the essential standards to support implementation and certification. This can be achieved by convening standards implementers via the Standards and Interoperability Framework to create shared, practical solutions predominant challenges in information exchange.</w:t>
      </w:r>
    </w:p>
    <w:p w:rsidR="0081054B" w:rsidRPr="0081054B" w:rsidRDefault="0081054B" w:rsidP="0081054B">
      <w:pPr>
        <w:spacing w:before="360" w:after="240"/>
        <w:ind w:firstLine="720"/>
        <w:rPr>
          <w:rFonts w:eastAsia="Times New Roman" w:cs="Times New Roman"/>
          <w:b/>
          <w:color w:val="0E101A"/>
          <w:szCs w:val="24"/>
        </w:rPr>
      </w:pPr>
      <w:r w:rsidRPr="0081054B">
        <w:rPr>
          <w:rFonts w:eastAsia="Times New Roman" w:cs="Times New Roman"/>
          <w:b/>
          <w:color w:val="0E101A"/>
          <w:szCs w:val="24"/>
        </w:rPr>
        <w:t>Financial and Clinical Incentives</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The hospital facility should consider accessing the Medicare and Medicaid EHR Incentive Programs that offer financial incentives to qualified providers to adopt and embrace meaningful use of EHR.</w:t>
      </w:r>
    </w:p>
    <w:p w:rsidR="0081054B" w:rsidRPr="0081054B" w:rsidRDefault="0081054B" w:rsidP="0081054B">
      <w:pPr>
        <w:spacing w:before="360" w:after="240"/>
        <w:ind w:firstLine="720"/>
        <w:rPr>
          <w:rFonts w:eastAsia="Times New Roman" w:cs="Times New Roman"/>
          <w:b/>
          <w:color w:val="0E101A"/>
          <w:szCs w:val="24"/>
        </w:rPr>
      </w:pPr>
      <w:r w:rsidRPr="0081054B">
        <w:rPr>
          <w:rFonts w:eastAsia="Times New Roman" w:cs="Times New Roman"/>
          <w:b/>
          <w:color w:val="0E101A"/>
          <w:szCs w:val="24"/>
        </w:rPr>
        <w:lastRenderedPageBreak/>
        <w:t>Privacy and Security</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The health facilities have ensured that patients' health information is stored in EHR systems where authorized users can only access them. In this essence, patients will trust the hospital as they will have the confidence that their information is securely stored and safeguarded. Privacy is a mutual responsibility between every participant in the delivery of the healthcare process and encompasses patients, health providers, health plans, developers, and the government.</w:t>
      </w:r>
    </w:p>
    <w:p w:rsidR="0081054B" w:rsidRPr="0081054B" w:rsidRDefault="0081054B" w:rsidP="0081054B">
      <w:pPr>
        <w:spacing w:before="360" w:after="240"/>
        <w:ind w:firstLine="720"/>
        <w:rPr>
          <w:rFonts w:eastAsia="Times New Roman" w:cs="Times New Roman"/>
          <w:b/>
          <w:color w:val="0E101A"/>
          <w:szCs w:val="24"/>
        </w:rPr>
      </w:pPr>
      <w:r w:rsidRPr="0081054B">
        <w:rPr>
          <w:rFonts w:eastAsia="Times New Roman" w:cs="Times New Roman"/>
          <w:b/>
          <w:color w:val="0E101A"/>
          <w:szCs w:val="24"/>
        </w:rPr>
        <w:t>Rules of Engagement</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Department of Health and Human Services (HHS) has outlined a nationwide trusted exchange that ensures good health governance practices in different communities. Hence the hospital has to ensure that it implements the principles. They include trust, business, technical and organizational principles.</w:t>
      </w:r>
    </w:p>
    <w:p w:rsidR="0081054B" w:rsidRPr="0081054B" w:rsidRDefault="0081054B" w:rsidP="0081054B">
      <w:pPr>
        <w:spacing w:before="360" w:after="240"/>
        <w:jc w:val="center"/>
        <w:rPr>
          <w:rFonts w:eastAsia="Times New Roman" w:cs="Times New Roman"/>
          <w:b/>
          <w:color w:val="0E101A"/>
          <w:szCs w:val="24"/>
        </w:rPr>
      </w:pPr>
      <w:r w:rsidRPr="0081054B">
        <w:rPr>
          <w:rFonts w:eastAsia="Times New Roman" w:cs="Times New Roman"/>
          <w:b/>
          <w:color w:val="0E101A"/>
          <w:szCs w:val="24"/>
        </w:rPr>
        <w:t>Conclusion</w:t>
      </w:r>
    </w:p>
    <w:p w:rsidR="0081054B" w:rsidRPr="0081054B" w:rsidRDefault="0081054B" w:rsidP="0081054B">
      <w:pPr>
        <w:spacing w:before="360" w:after="240"/>
        <w:ind w:firstLine="720"/>
        <w:rPr>
          <w:rFonts w:eastAsia="Times New Roman" w:cs="Times New Roman"/>
          <w:color w:val="0E101A"/>
          <w:szCs w:val="24"/>
        </w:rPr>
      </w:pPr>
      <w:r w:rsidRPr="0081054B">
        <w:rPr>
          <w:rFonts w:eastAsia="Times New Roman" w:cs="Times New Roman"/>
          <w:color w:val="0E101A"/>
          <w:szCs w:val="24"/>
        </w:rPr>
        <w:t xml:space="preserve">           Health organizations need to integrate interoperability within their operations. Interoperability in healthcare has myriad benefits. For example, interoperability aids in safeguarding patient data by preventing unauthorized access by criminal hackers. Also, it improves the productivity of staff and ensures a better experience for patients. The hospital's CEO has to ensure that various elements for achieving interoperability are considered to introduce it within its operations successfully. Notable elements include adopting and optimizing EHRs and HIE services, standards for supporting the implementation, and certification. With </w:t>
      </w:r>
      <w:r w:rsidRPr="0081054B">
        <w:rPr>
          <w:rFonts w:eastAsia="Times New Roman" w:cs="Times New Roman"/>
          <w:color w:val="0E101A"/>
          <w:szCs w:val="24"/>
        </w:rPr>
        <w:lastRenderedPageBreak/>
        <w:t>many companies developing different artificial intelligence applications, the future of robotic surgery is exhilarating. Hospitals will significantly embrace robotic surgery's integration in their surgical operations when the costs of the tool have reduced.</w:t>
      </w:r>
    </w:p>
    <w:p w:rsidR="0081054B" w:rsidRDefault="0081054B">
      <w:pPr>
        <w:spacing w:after="160" w:line="259" w:lineRule="auto"/>
        <w:rPr>
          <w:rFonts w:cs="Times New Roman"/>
          <w:szCs w:val="24"/>
        </w:rPr>
      </w:pPr>
      <w:r>
        <w:rPr>
          <w:rFonts w:cs="Times New Roman"/>
          <w:szCs w:val="24"/>
        </w:rPr>
        <w:br w:type="page"/>
      </w:r>
    </w:p>
    <w:p w:rsidR="00670C8E" w:rsidRPr="0081054B" w:rsidRDefault="00A83089" w:rsidP="0081054B">
      <w:pPr>
        <w:spacing w:before="360" w:after="240"/>
        <w:jc w:val="center"/>
        <w:rPr>
          <w:rFonts w:cs="Times New Roman"/>
          <w:szCs w:val="24"/>
        </w:rPr>
      </w:pPr>
      <w:r w:rsidRPr="0081054B">
        <w:rPr>
          <w:rFonts w:cs="Times New Roman"/>
          <w:szCs w:val="24"/>
        </w:rPr>
        <w:lastRenderedPageBreak/>
        <w:t>References</w:t>
      </w:r>
    </w:p>
    <w:p w:rsidR="0081054B" w:rsidRPr="0081054B" w:rsidRDefault="0081054B" w:rsidP="0081054B">
      <w:pPr>
        <w:spacing w:before="360" w:after="240"/>
        <w:ind w:left="720" w:hanging="720"/>
        <w:rPr>
          <w:rFonts w:eastAsia="Times New Roman" w:cs="Times New Roman"/>
          <w:szCs w:val="24"/>
        </w:rPr>
      </w:pPr>
      <w:proofErr w:type="spellStart"/>
      <w:r w:rsidRPr="0081054B">
        <w:rPr>
          <w:rFonts w:eastAsia="Times New Roman" w:cs="Times New Roman"/>
          <w:szCs w:val="24"/>
        </w:rPr>
        <w:t>Aalami</w:t>
      </w:r>
      <w:proofErr w:type="spellEnd"/>
      <w:r w:rsidRPr="0081054B">
        <w:rPr>
          <w:rFonts w:eastAsia="Times New Roman" w:cs="Times New Roman"/>
          <w:szCs w:val="24"/>
        </w:rPr>
        <w:t xml:space="preserve">, O., Ingraham, A., &amp; Arya, S. (2021). Applications of Mobile Health Technology in Surgical Innovation. </w:t>
      </w:r>
      <w:r w:rsidRPr="0081054B">
        <w:rPr>
          <w:rFonts w:eastAsia="Times New Roman" w:cs="Times New Roman"/>
          <w:i/>
          <w:iCs/>
          <w:szCs w:val="24"/>
        </w:rPr>
        <w:t>JAMA surgery</w:t>
      </w:r>
      <w:r w:rsidRPr="0081054B">
        <w:rPr>
          <w:rFonts w:eastAsia="Times New Roman" w:cs="Times New Roman"/>
          <w:szCs w:val="24"/>
        </w:rPr>
        <w:t>.</w:t>
      </w:r>
    </w:p>
    <w:p w:rsidR="0081054B" w:rsidRPr="0081054B" w:rsidRDefault="0081054B" w:rsidP="0081054B">
      <w:pPr>
        <w:spacing w:before="360" w:after="240"/>
        <w:ind w:left="720" w:hanging="720"/>
        <w:rPr>
          <w:rFonts w:eastAsia="Times New Roman" w:cs="Times New Roman"/>
          <w:szCs w:val="24"/>
        </w:rPr>
      </w:pPr>
      <w:r w:rsidRPr="0081054B">
        <w:rPr>
          <w:rFonts w:eastAsia="Times New Roman" w:cs="Times New Roman"/>
          <w:szCs w:val="24"/>
        </w:rPr>
        <w:t xml:space="preserve">Agrawal, R., &amp; </w:t>
      </w:r>
      <w:proofErr w:type="spellStart"/>
      <w:r w:rsidRPr="0081054B">
        <w:rPr>
          <w:rFonts w:eastAsia="Times New Roman" w:cs="Times New Roman"/>
          <w:szCs w:val="24"/>
        </w:rPr>
        <w:t>Prabakaran</w:t>
      </w:r>
      <w:proofErr w:type="spellEnd"/>
      <w:r w:rsidRPr="0081054B">
        <w:rPr>
          <w:rFonts w:eastAsia="Times New Roman" w:cs="Times New Roman"/>
          <w:szCs w:val="24"/>
        </w:rPr>
        <w:t xml:space="preserve">, S. (2020). Big data in digital healthcare: lessons learnt and recommendations for general practice. </w:t>
      </w:r>
      <w:r w:rsidRPr="0081054B">
        <w:rPr>
          <w:rFonts w:eastAsia="Times New Roman" w:cs="Times New Roman"/>
          <w:i/>
          <w:iCs/>
          <w:szCs w:val="24"/>
        </w:rPr>
        <w:t>Heredity</w:t>
      </w:r>
      <w:r w:rsidRPr="0081054B">
        <w:rPr>
          <w:rFonts w:eastAsia="Times New Roman" w:cs="Times New Roman"/>
          <w:szCs w:val="24"/>
        </w:rPr>
        <w:t xml:space="preserve">, </w:t>
      </w:r>
      <w:r w:rsidRPr="0081054B">
        <w:rPr>
          <w:rFonts w:eastAsia="Times New Roman" w:cs="Times New Roman"/>
          <w:i/>
          <w:iCs/>
          <w:szCs w:val="24"/>
        </w:rPr>
        <w:t>124</w:t>
      </w:r>
      <w:r w:rsidRPr="0081054B">
        <w:rPr>
          <w:rFonts w:eastAsia="Times New Roman" w:cs="Times New Roman"/>
          <w:szCs w:val="24"/>
        </w:rPr>
        <w:t>(4), 525-534.</w:t>
      </w:r>
    </w:p>
    <w:p w:rsidR="0081054B" w:rsidRPr="0081054B" w:rsidRDefault="0081054B" w:rsidP="0081054B">
      <w:pPr>
        <w:spacing w:before="360" w:after="240"/>
        <w:ind w:left="720" w:hanging="720"/>
        <w:rPr>
          <w:rFonts w:eastAsia="Times New Roman" w:cs="Times New Roman"/>
          <w:szCs w:val="24"/>
        </w:rPr>
      </w:pPr>
      <w:r w:rsidRPr="0081054B">
        <w:rPr>
          <w:rFonts w:eastAsia="Times New Roman" w:cs="Times New Roman"/>
          <w:szCs w:val="24"/>
        </w:rPr>
        <w:t xml:space="preserve">Ahern, D. P., Gibbons, D., Schroeder, G. D., Vaccaro, A. R., &amp; Butler, J. S. (2020). Image-guidance, Robotics, and the Future of Spine Surgery. </w:t>
      </w:r>
      <w:r w:rsidRPr="0081054B">
        <w:rPr>
          <w:rFonts w:eastAsia="Times New Roman" w:cs="Times New Roman"/>
          <w:i/>
          <w:iCs/>
          <w:szCs w:val="24"/>
        </w:rPr>
        <w:t>Clinical spine surgery</w:t>
      </w:r>
      <w:r w:rsidRPr="0081054B">
        <w:rPr>
          <w:rFonts w:eastAsia="Times New Roman" w:cs="Times New Roman"/>
          <w:szCs w:val="24"/>
        </w:rPr>
        <w:t xml:space="preserve">, </w:t>
      </w:r>
      <w:r w:rsidRPr="0081054B">
        <w:rPr>
          <w:rFonts w:eastAsia="Times New Roman" w:cs="Times New Roman"/>
          <w:i/>
          <w:iCs/>
          <w:szCs w:val="24"/>
        </w:rPr>
        <w:t>33</w:t>
      </w:r>
      <w:r w:rsidRPr="0081054B">
        <w:rPr>
          <w:rFonts w:eastAsia="Times New Roman" w:cs="Times New Roman"/>
          <w:szCs w:val="24"/>
        </w:rPr>
        <w:t>(5), 179-184.</w:t>
      </w:r>
    </w:p>
    <w:p w:rsidR="0081054B" w:rsidRPr="0081054B" w:rsidRDefault="0081054B" w:rsidP="0081054B">
      <w:pPr>
        <w:spacing w:before="360" w:after="240"/>
        <w:ind w:left="720" w:hanging="720"/>
        <w:rPr>
          <w:rFonts w:eastAsia="Times New Roman" w:cs="Times New Roman"/>
          <w:szCs w:val="24"/>
        </w:rPr>
      </w:pPr>
      <w:proofErr w:type="spellStart"/>
      <w:r w:rsidRPr="0081054B">
        <w:rPr>
          <w:rFonts w:eastAsia="Times New Roman" w:cs="Times New Roman"/>
          <w:szCs w:val="24"/>
        </w:rPr>
        <w:t>Balasubramanian</w:t>
      </w:r>
      <w:proofErr w:type="spellEnd"/>
      <w:r w:rsidRPr="0081054B">
        <w:rPr>
          <w:rFonts w:eastAsia="Times New Roman" w:cs="Times New Roman"/>
          <w:szCs w:val="24"/>
        </w:rPr>
        <w:t xml:space="preserve">, S., </w:t>
      </w:r>
      <w:proofErr w:type="spellStart"/>
      <w:r w:rsidRPr="0081054B">
        <w:rPr>
          <w:rFonts w:eastAsia="Times New Roman" w:cs="Times New Roman"/>
          <w:szCs w:val="24"/>
        </w:rPr>
        <w:t>Chenniah</w:t>
      </w:r>
      <w:proofErr w:type="spellEnd"/>
      <w:r w:rsidRPr="0081054B">
        <w:rPr>
          <w:rFonts w:eastAsia="Times New Roman" w:cs="Times New Roman"/>
          <w:szCs w:val="24"/>
        </w:rPr>
        <w:t xml:space="preserve">, J., </w:t>
      </w:r>
      <w:proofErr w:type="spellStart"/>
      <w:r w:rsidRPr="0081054B">
        <w:rPr>
          <w:rFonts w:eastAsia="Times New Roman" w:cs="Times New Roman"/>
          <w:szCs w:val="24"/>
        </w:rPr>
        <w:t>Balasubramanian</w:t>
      </w:r>
      <w:proofErr w:type="spellEnd"/>
      <w:r w:rsidRPr="0081054B">
        <w:rPr>
          <w:rFonts w:eastAsia="Times New Roman" w:cs="Times New Roman"/>
          <w:szCs w:val="24"/>
        </w:rPr>
        <w:t xml:space="preserve">, G., &amp; </w:t>
      </w:r>
      <w:proofErr w:type="spellStart"/>
      <w:r w:rsidRPr="0081054B">
        <w:rPr>
          <w:rFonts w:eastAsia="Times New Roman" w:cs="Times New Roman"/>
          <w:szCs w:val="24"/>
        </w:rPr>
        <w:t>Vellaipandi</w:t>
      </w:r>
      <w:proofErr w:type="spellEnd"/>
      <w:r w:rsidRPr="0081054B">
        <w:rPr>
          <w:rFonts w:eastAsia="Times New Roman" w:cs="Times New Roman"/>
          <w:szCs w:val="24"/>
        </w:rPr>
        <w:t xml:space="preserve">, V. (2020). The era of robotics: dexterity for surgery and medical care: narrative review. </w:t>
      </w:r>
      <w:r w:rsidRPr="0081054B">
        <w:rPr>
          <w:rFonts w:eastAsia="Times New Roman" w:cs="Times New Roman"/>
          <w:i/>
          <w:iCs/>
          <w:szCs w:val="24"/>
        </w:rPr>
        <w:t>International Surgery Journal</w:t>
      </w:r>
      <w:r w:rsidRPr="0081054B">
        <w:rPr>
          <w:rFonts w:eastAsia="Times New Roman" w:cs="Times New Roman"/>
          <w:szCs w:val="24"/>
        </w:rPr>
        <w:t xml:space="preserve">, </w:t>
      </w:r>
      <w:r w:rsidRPr="0081054B">
        <w:rPr>
          <w:rFonts w:eastAsia="Times New Roman" w:cs="Times New Roman"/>
          <w:i/>
          <w:iCs/>
          <w:szCs w:val="24"/>
        </w:rPr>
        <w:t>7</w:t>
      </w:r>
      <w:r w:rsidRPr="0081054B">
        <w:rPr>
          <w:rFonts w:eastAsia="Times New Roman" w:cs="Times New Roman"/>
          <w:szCs w:val="24"/>
        </w:rPr>
        <w:t>(4), 1317-1323.</w:t>
      </w:r>
    </w:p>
    <w:p w:rsidR="0081054B" w:rsidRPr="0081054B" w:rsidRDefault="0081054B" w:rsidP="0081054B">
      <w:pPr>
        <w:spacing w:before="360" w:after="240"/>
        <w:ind w:left="720" w:hanging="720"/>
        <w:rPr>
          <w:rFonts w:eastAsia="Times New Roman" w:cs="Times New Roman"/>
          <w:szCs w:val="24"/>
        </w:rPr>
      </w:pPr>
      <w:r w:rsidRPr="0081054B">
        <w:rPr>
          <w:rFonts w:eastAsia="Times New Roman" w:cs="Times New Roman"/>
          <w:szCs w:val="24"/>
        </w:rPr>
        <w:t>Frazier, B. (2020). Healthcare Interoperability: Shifting the Focus to the Patient.</w:t>
      </w:r>
    </w:p>
    <w:p w:rsidR="0081054B" w:rsidRPr="0081054B" w:rsidRDefault="0081054B" w:rsidP="0081054B">
      <w:pPr>
        <w:spacing w:before="360" w:after="240"/>
        <w:ind w:left="720" w:hanging="720"/>
        <w:rPr>
          <w:rFonts w:eastAsia="Times New Roman" w:cs="Times New Roman"/>
          <w:szCs w:val="24"/>
        </w:rPr>
      </w:pPr>
      <w:r w:rsidRPr="0081054B">
        <w:rPr>
          <w:rFonts w:eastAsia="Times New Roman" w:cs="Times New Roman"/>
          <w:szCs w:val="24"/>
        </w:rPr>
        <w:t xml:space="preserve">Garfield, S., Jani, Y., </w:t>
      </w:r>
      <w:proofErr w:type="spellStart"/>
      <w:r w:rsidRPr="0081054B">
        <w:rPr>
          <w:rFonts w:eastAsia="Times New Roman" w:cs="Times New Roman"/>
          <w:szCs w:val="24"/>
        </w:rPr>
        <w:t>Jheeta</w:t>
      </w:r>
      <w:proofErr w:type="spellEnd"/>
      <w:r w:rsidRPr="0081054B">
        <w:rPr>
          <w:rFonts w:eastAsia="Times New Roman" w:cs="Times New Roman"/>
          <w:szCs w:val="24"/>
        </w:rPr>
        <w:t xml:space="preserve">, S., &amp; Franklin, B. D. (2020). Impact of electronic prescribing on patient safety in hospitals: implications for the UK. </w:t>
      </w:r>
      <w:r w:rsidRPr="0081054B">
        <w:rPr>
          <w:rFonts w:eastAsia="Times New Roman" w:cs="Times New Roman"/>
          <w:i/>
          <w:iCs/>
          <w:szCs w:val="24"/>
        </w:rPr>
        <w:t>Evaluation</w:t>
      </w:r>
      <w:r w:rsidRPr="0081054B">
        <w:rPr>
          <w:rFonts w:eastAsia="Times New Roman" w:cs="Times New Roman"/>
          <w:szCs w:val="24"/>
        </w:rPr>
        <w:t xml:space="preserve">, </w:t>
      </w:r>
      <w:r w:rsidRPr="0081054B">
        <w:rPr>
          <w:rFonts w:eastAsia="Times New Roman" w:cs="Times New Roman"/>
          <w:i/>
          <w:iCs/>
          <w:szCs w:val="24"/>
        </w:rPr>
        <w:t>15</w:t>
      </w:r>
      <w:r w:rsidRPr="0081054B">
        <w:rPr>
          <w:rFonts w:eastAsia="Times New Roman" w:cs="Times New Roman"/>
          <w:szCs w:val="24"/>
        </w:rPr>
        <w:t>, 13.</w:t>
      </w:r>
    </w:p>
    <w:p w:rsidR="00670C8E" w:rsidRPr="0081054B" w:rsidRDefault="00670C8E" w:rsidP="0081054B">
      <w:pPr>
        <w:spacing w:before="360" w:after="240"/>
        <w:ind w:left="720" w:hanging="720"/>
        <w:rPr>
          <w:rFonts w:eastAsia="Times New Roman" w:cs="Times New Roman"/>
          <w:szCs w:val="24"/>
        </w:rPr>
      </w:pPr>
      <w:proofErr w:type="spellStart"/>
      <w:r w:rsidRPr="0081054B">
        <w:rPr>
          <w:rFonts w:eastAsia="Times New Roman" w:cs="Times New Roman"/>
          <w:szCs w:val="24"/>
        </w:rPr>
        <w:t>Krey</w:t>
      </w:r>
      <w:proofErr w:type="spellEnd"/>
      <w:r w:rsidRPr="0081054B">
        <w:rPr>
          <w:rFonts w:eastAsia="Times New Roman" w:cs="Times New Roman"/>
          <w:szCs w:val="24"/>
        </w:rPr>
        <w:t xml:space="preserve">, M. (2020, March). Wearable Technology in Health Care–Acceptance and Technical Requirements for Medical Information Systems. In </w:t>
      </w:r>
      <w:r w:rsidRPr="0081054B">
        <w:rPr>
          <w:rFonts w:eastAsia="Times New Roman" w:cs="Times New Roman"/>
          <w:i/>
          <w:iCs/>
          <w:szCs w:val="24"/>
        </w:rPr>
        <w:t>2020 6th International Conference on Information Management (ICIM)</w:t>
      </w:r>
      <w:r w:rsidRPr="0081054B">
        <w:rPr>
          <w:rFonts w:eastAsia="Times New Roman" w:cs="Times New Roman"/>
          <w:szCs w:val="24"/>
        </w:rPr>
        <w:t xml:space="preserve"> (pp. 274-283). IEEE.</w:t>
      </w:r>
    </w:p>
    <w:p w:rsidR="00670C8E" w:rsidRPr="0081054B" w:rsidRDefault="00670C8E" w:rsidP="0081054B">
      <w:pPr>
        <w:spacing w:before="360" w:after="240"/>
        <w:ind w:left="720" w:hanging="720"/>
        <w:rPr>
          <w:rFonts w:eastAsia="Times New Roman" w:cs="Times New Roman"/>
          <w:szCs w:val="24"/>
        </w:rPr>
      </w:pPr>
      <w:r w:rsidRPr="0081054B">
        <w:rPr>
          <w:rFonts w:eastAsia="Times New Roman" w:cs="Times New Roman"/>
          <w:szCs w:val="24"/>
        </w:rPr>
        <w:lastRenderedPageBreak/>
        <w:t xml:space="preserve">Shi, S., He, D., Li, L., Kumar, N., Khan, M. K., &amp; Choo, K. K. R. (2020). Applications of </w:t>
      </w:r>
      <w:proofErr w:type="spellStart"/>
      <w:r w:rsidRPr="0081054B">
        <w:rPr>
          <w:rFonts w:eastAsia="Times New Roman" w:cs="Times New Roman"/>
          <w:szCs w:val="24"/>
        </w:rPr>
        <w:t>blockchain</w:t>
      </w:r>
      <w:proofErr w:type="spellEnd"/>
      <w:r w:rsidRPr="0081054B">
        <w:rPr>
          <w:rFonts w:eastAsia="Times New Roman" w:cs="Times New Roman"/>
          <w:szCs w:val="24"/>
        </w:rPr>
        <w:t xml:space="preserve"> in ensuring the security and privacy of electronic health record systems: A survey. </w:t>
      </w:r>
      <w:r w:rsidRPr="0081054B">
        <w:rPr>
          <w:rFonts w:eastAsia="Times New Roman" w:cs="Times New Roman"/>
          <w:i/>
          <w:iCs/>
          <w:szCs w:val="24"/>
        </w:rPr>
        <w:t>Computers &amp; Security</w:t>
      </w:r>
      <w:r w:rsidRPr="0081054B">
        <w:rPr>
          <w:rFonts w:eastAsia="Times New Roman" w:cs="Times New Roman"/>
          <w:szCs w:val="24"/>
        </w:rPr>
        <w:t>, 101966.</w:t>
      </w:r>
    </w:p>
    <w:sectPr w:rsidR="00670C8E" w:rsidRPr="0081054B" w:rsidSect="007071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E4" w:rsidRDefault="006F7EE4" w:rsidP="00707123">
      <w:pPr>
        <w:spacing w:after="0" w:line="240" w:lineRule="auto"/>
      </w:pPr>
      <w:r>
        <w:separator/>
      </w:r>
    </w:p>
  </w:endnote>
  <w:endnote w:type="continuationSeparator" w:id="0">
    <w:p w:rsidR="006F7EE4" w:rsidRDefault="006F7EE4" w:rsidP="0070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E4" w:rsidRDefault="006F7EE4" w:rsidP="00707123">
      <w:pPr>
        <w:spacing w:after="0" w:line="240" w:lineRule="auto"/>
      </w:pPr>
      <w:r>
        <w:separator/>
      </w:r>
    </w:p>
  </w:footnote>
  <w:footnote w:type="continuationSeparator" w:id="0">
    <w:p w:rsidR="006F7EE4" w:rsidRDefault="006F7EE4" w:rsidP="0070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07222"/>
      <w:docPartObj>
        <w:docPartGallery w:val="Page Numbers (Top of Page)"/>
        <w:docPartUnique/>
      </w:docPartObj>
    </w:sdtPr>
    <w:sdtEndPr>
      <w:rPr>
        <w:noProof/>
      </w:rPr>
    </w:sdtEndPr>
    <w:sdtContent>
      <w:p w:rsidR="00707123" w:rsidRDefault="00707123">
        <w:pPr>
          <w:pStyle w:val="Header"/>
          <w:jc w:val="right"/>
        </w:pPr>
        <w:r>
          <w:t>INTEROPERABILITY IN HEALTHCARE</w:t>
        </w:r>
        <w:r>
          <w:tab/>
        </w:r>
        <w:r>
          <w:tab/>
        </w:r>
        <w:r>
          <w:fldChar w:fldCharType="begin"/>
        </w:r>
        <w:r>
          <w:instrText xml:space="preserve"> PAGE   \* MERGEFORMAT </w:instrText>
        </w:r>
        <w:r>
          <w:fldChar w:fldCharType="separate"/>
        </w:r>
        <w:r w:rsidR="0081054B">
          <w:rPr>
            <w:noProof/>
          </w:rPr>
          <w:t>11</w:t>
        </w:r>
        <w:r>
          <w:rPr>
            <w:noProof/>
          </w:rPr>
          <w:fldChar w:fldCharType="end"/>
        </w:r>
      </w:p>
    </w:sdtContent>
  </w:sdt>
  <w:p w:rsidR="00707123" w:rsidRDefault="007071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3" w:rsidRDefault="00707123">
    <w:pPr>
      <w:pStyle w:val="Header"/>
    </w:pPr>
    <w:r>
      <w:t>Running Head: INTEROPERABILITY IN HEALTHCARE</w:t>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1671E"/>
    <w:multiLevelType w:val="multilevel"/>
    <w:tmpl w:val="7B58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1325D"/>
    <w:multiLevelType w:val="hybridMultilevel"/>
    <w:tmpl w:val="A322E718"/>
    <w:lvl w:ilvl="0" w:tplc="5710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E28FB"/>
    <w:multiLevelType w:val="multilevel"/>
    <w:tmpl w:val="C26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D6139"/>
    <w:multiLevelType w:val="multilevel"/>
    <w:tmpl w:val="0F04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4F30FC"/>
    <w:multiLevelType w:val="multilevel"/>
    <w:tmpl w:val="CB22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6A"/>
    <w:rsid w:val="00000A29"/>
    <w:rsid w:val="00001B03"/>
    <w:rsid w:val="0002514E"/>
    <w:rsid w:val="00031E0F"/>
    <w:rsid w:val="000411C7"/>
    <w:rsid w:val="00044FB5"/>
    <w:rsid w:val="00053C1C"/>
    <w:rsid w:val="00074A21"/>
    <w:rsid w:val="000953DF"/>
    <w:rsid w:val="000A6434"/>
    <w:rsid w:val="000A6B22"/>
    <w:rsid w:val="000D1577"/>
    <w:rsid w:val="000D2BA0"/>
    <w:rsid w:val="000D4398"/>
    <w:rsid w:val="000D6B7D"/>
    <w:rsid w:val="000F6058"/>
    <w:rsid w:val="0010063C"/>
    <w:rsid w:val="00116F21"/>
    <w:rsid w:val="00124274"/>
    <w:rsid w:val="001334C3"/>
    <w:rsid w:val="00135038"/>
    <w:rsid w:val="00142434"/>
    <w:rsid w:val="001518DD"/>
    <w:rsid w:val="00164901"/>
    <w:rsid w:val="001767F4"/>
    <w:rsid w:val="00181DAC"/>
    <w:rsid w:val="00185F47"/>
    <w:rsid w:val="00193C35"/>
    <w:rsid w:val="00196918"/>
    <w:rsid w:val="001B1EAB"/>
    <w:rsid w:val="001C1F8B"/>
    <w:rsid w:val="001E3E96"/>
    <w:rsid w:val="002104AE"/>
    <w:rsid w:val="0022001D"/>
    <w:rsid w:val="002209A8"/>
    <w:rsid w:val="00225D01"/>
    <w:rsid w:val="00226F79"/>
    <w:rsid w:val="002335E1"/>
    <w:rsid w:val="00241D21"/>
    <w:rsid w:val="0024704A"/>
    <w:rsid w:val="002568D7"/>
    <w:rsid w:val="00272437"/>
    <w:rsid w:val="0029061C"/>
    <w:rsid w:val="00294667"/>
    <w:rsid w:val="00296E91"/>
    <w:rsid w:val="002A3AA6"/>
    <w:rsid w:val="002B5E50"/>
    <w:rsid w:val="002C37FA"/>
    <w:rsid w:val="002D22B2"/>
    <w:rsid w:val="002D38A9"/>
    <w:rsid w:val="002E7721"/>
    <w:rsid w:val="002F573C"/>
    <w:rsid w:val="002F766E"/>
    <w:rsid w:val="003042D1"/>
    <w:rsid w:val="00306EB1"/>
    <w:rsid w:val="003126B6"/>
    <w:rsid w:val="003202C5"/>
    <w:rsid w:val="00320DB4"/>
    <w:rsid w:val="0032334E"/>
    <w:rsid w:val="003246F2"/>
    <w:rsid w:val="003355E6"/>
    <w:rsid w:val="00337DA9"/>
    <w:rsid w:val="00343A13"/>
    <w:rsid w:val="0034429C"/>
    <w:rsid w:val="003500D9"/>
    <w:rsid w:val="00351B2A"/>
    <w:rsid w:val="003532BF"/>
    <w:rsid w:val="00353561"/>
    <w:rsid w:val="0036405F"/>
    <w:rsid w:val="00377572"/>
    <w:rsid w:val="00380F6A"/>
    <w:rsid w:val="00383CE8"/>
    <w:rsid w:val="003955A1"/>
    <w:rsid w:val="003B2400"/>
    <w:rsid w:val="003C4412"/>
    <w:rsid w:val="003E01D4"/>
    <w:rsid w:val="003F5365"/>
    <w:rsid w:val="003F6287"/>
    <w:rsid w:val="00400297"/>
    <w:rsid w:val="00404D9F"/>
    <w:rsid w:val="00404FB4"/>
    <w:rsid w:val="00407639"/>
    <w:rsid w:val="004103B9"/>
    <w:rsid w:val="0041504E"/>
    <w:rsid w:val="004271B1"/>
    <w:rsid w:val="00431207"/>
    <w:rsid w:val="00437C5B"/>
    <w:rsid w:val="00460D09"/>
    <w:rsid w:val="00464915"/>
    <w:rsid w:val="00466056"/>
    <w:rsid w:val="004726E0"/>
    <w:rsid w:val="00475E00"/>
    <w:rsid w:val="00477425"/>
    <w:rsid w:val="00483DE3"/>
    <w:rsid w:val="00490CE9"/>
    <w:rsid w:val="004966AC"/>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45F3B"/>
    <w:rsid w:val="005532E4"/>
    <w:rsid w:val="005544F7"/>
    <w:rsid w:val="005567AB"/>
    <w:rsid w:val="00566161"/>
    <w:rsid w:val="00570D4A"/>
    <w:rsid w:val="00571AE1"/>
    <w:rsid w:val="00573870"/>
    <w:rsid w:val="005746EF"/>
    <w:rsid w:val="005751B6"/>
    <w:rsid w:val="00575850"/>
    <w:rsid w:val="00593277"/>
    <w:rsid w:val="00594531"/>
    <w:rsid w:val="00594677"/>
    <w:rsid w:val="005A1414"/>
    <w:rsid w:val="005A7ECB"/>
    <w:rsid w:val="005B392F"/>
    <w:rsid w:val="005B3C88"/>
    <w:rsid w:val="005B7C87"/>
    <w:rsid w:val="005C4BC3"/>
    <w:rsid w:val="005C681C"/>
    <w:rsid w:val="005D10C5"/>
    <w:rsid w:val="005D730E"/>
    <w:rsid w:val="005D74FD"/>
    <w:rsid w:val="005E30EA"/>
    <w:rsid w:val="005E41BE"/>
    <w:rsid w:val="005E4227"/>
    <w:rsid w:val="005E4E12"/>
    <w:rsid w:val="005F085A"/>
    <w:rsid w:val="005F35E2"/>
    <w:rsid w:val="005F72B2"/>
    <w:rsid w:val="00600E90"/>
    <w:rsid w:val="00604530"/>
    <w:rsid w:val="0061634C"/>
    <w:rsid w:val="006254BD"/>
    <w:rsid w:val="006305B0"/>
    <w:rsid w:val="00633D7D"/>
    <w:rsid w:val="00637283"/>
    <w:rsid w:val="0064231E"/>
    <w:rsid w:val="00647E75"/>
    <w:rsid w:val="00651841"/>
    <w:rsid w:val="0065435B"/>
    <w:rsid w:val="0067062A"/>
    <w:rsid w:val="00670B2C"/>
    <w:rsid w:val="00670C8E"/>
    <w:rsid w:val="00691AA6"/>
    <w:rsid w:val="00693437"/>
    <w:rsid w:val="006B2A05"/>
    <w:rsid w:val="006C3AB1"/>
    <w:rsid w:val="006C3B2C"/>
    <w:rsid w:val="006D3D0E"/>
    <w:rsid w:val="006D7174"/>
    <w:rsid w:val="006F0FAA"/>
    <w:rsid w:val="006F2FCD"/>
    <w:rsid w:val="006F3E10"/>
    <w:rsid w:val="006F7EE4"/>
    <w:rsid w:val="00701082"/>
    <w:rsid w:val="00707123"/>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A63FE"/>
    <w:rsid w:val="007C34D3"/>
    <w:rsid w:val="007C43FC"/>
    <w:rsid w:val="007D338C"/>
    <w:rsid w:val="007E2109"/>
    <w:rsid w:val="007F4913"/>
    <w:rsid w:val="007F51B1"/>
    <w:rsid w:val="0081054B"/>
    <w:rsid w:val="008133A8"/>
    <w:rsid w:val="00817E3F"/>
    <w:rsid w:val="008218EC"/>
    <w:rsid w:val="00821BAE"/>
    <w:rsid w:val="00821C78"/>
    <w:rsid w:val="00822D9D"/>
    <w:rsid w:val="00836953"/>
    <w:rsid w:val="00847FF1"/>
    <w:rsid w:val="00850C76"/>
    <w:rsid w:val="008512F2"/>
    <w:rsid w:val="00862C17"/>
    <w:rsid w:val="00864B11"/>
    <w:rsid w:val="00871E6C"/>
    <w:rsid w:val="00873627"/>
    <w:rsid w:val="00887B79"/>
    <w:rsid w:val="00896D43"/>
    <w:rsid w:val="008979F4"/>
    <w:rsid w:val="008A0815"/>
    <w:rsid w:val="008B0FE3"/>
    <w:rsid w:val="008C37ED"/>
    <w:rsid w:val="008D6B36"/>
    <w:rsid w:val="008E260D"/>
    <w:rsid w:val="008E580F"/>
    <w:rsid w:val="008E5D30"/>
    <w:rsid w:val="008F1BFD"/>
    <w:rsid w:val="0090497A"/>
    <w:rsid w:val="00912648"/>
    <w:rsid w:val="00916812"/>
    <w:rsid w:val="00917F80"/>
    <w:rsid w:val="009330F9"/>
    <w:rsid w:val="00942377"/>
    <w:rsid w:val="009430BB"/>
    <w:rsid w:val="009447B4"/>
    <w:rsid w:val="00945B3E"/>
    <w:rsid w:val="00945C0E"/>
    <w:rsid w:val="00962CD7"/>
    <w:rsid w:val="00966A7D"/>
    <w:rsid w:val="00970D1D"/>
    <w:rsid w:val="00987AF2"/>
    <w:rsid w:val="0099485F"/>
    <w:rsid w:val="009B0550"/>
    <w:rsid w:val="009C02B9"/>
    <w:rsid w:val="009C0545"/>
    <w:rsid w:val="009C164C"/>
    <w:rsid w:val="009C1AA9"/>
    <w:rsid w:val="009C29B2"/>
    <w:rsid w:val="009C767E"/>
    <w:rsid w:val="009D3EC6"/>
    <w:rsid w:val="009D7AC9"/>
    <w:rsid w:val="009E51DA"/>
    <w:rsid w:val="009F02BF"/>
    <w:rsid w:val="009F1A8B"/>
    <w:rsid w:val="00A0318A"/>
    <w:rsid w:val="00A10417"/>
    <w:rsid w:val="00A10676"/>
    <w:rsid w:val="00A209DE"/>
    <w:rsid w:val="00A329B4"/>
    <w:rsid w:val="00A33606"/>
    <w:rsid w:val="00A42FD0"/>
    <w:rsid w:val="00A43C3D"/>
    <w:rsid w:val="00A6104C"/>
    <w:rsid w:val="00A742B9"/>
    <w:rsid w:val="00A75013"/>
    <w:rsid w:val="00A80134"/>
    <w:rsid w:val="00A82855"/>
    <w:rsid w:val="00A83089"/>
    <w:rsid w:val="00A874FE"/>
    <w:rsid w:val="00AA7C43"/>
    <w:rsid w:val="00AB2E72"/>
    <w:rsid w:val="00AC1DED"/>
    <w:rsid w:val="00AC2271"/>
    <w:rsid w:val="00AC3E6A"/>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7EEF"/>
    <w:rsid w:val="00B56AAE"/>
    <w:rsid w:val="00B75321"/>
    <w:rsid w:val="00B77FD8"/>
    <w:rsid w:val="00B821E9"/>
    <w:rsid w:val="00B84272"/>
    <w:rsid w:val="00B85D50"/>
    <w:rsid w:val="00B91225"/>
    <w:rsid w:val="00B91266"/>
    <w:rsid w:val="00BB2465"/>
    <w:rsid w:val="00BC0B91"/>
    <w:rsid w:val="00BC1A19"/>
    <w:rsid w:val="00BE24BF"/>
    <w:rsid w:val="00BE3705"/>
    <w:rsid w:val="00BE6BE2"/>
    <w:rsid w:val="00BF2AF7"/>
    <w:rsid w:val="00BF6DA9"/>
    <w:rsid w:val="00C062FB"/>
    <w:rsid w:val="00C170AE"/>
    <w:rsid w:val="00C25CEC"/>
    <w:rsid w:val="00C502A7"/>
    <w:rsid w:val="00C52A1C"/>
    <w:rsid w:val="00C52EFC"/>
    <w:rsid w:val="00C563E2"/>
    <w:rsid w:val="00C72204"/>
    <w:rsid w:val="00C74BEA"/>
    <w:rsid w:val="00C806AE"/>
    <w:rsid w:val="00C80912"/>
    <w:rsid w:val="00C82B3A"/>
    <w:rsid w:val="00C85228"/>
    <w:rsid w:val="00CA146C"/>
    <w:rsid w:val="00CA4347"/>
    <w:rsid w:val="00CB1686"/>
    <w:rsid w:val="00CB1CE5"/>
    <w:rsid w:val="00CB2AAF"/>
    <w:rsid w:val="00CB3F67"/>
    <w:rsid w:val="00CB692B"/>
    <w:rsid w:val="00CD125B"/>
    <w:rsid w:val="00CD137D"/>
    <w:rsid w:val="00CD3031"/>
    <w:rsid w:val="00CE1A85"/>
    <w:rsid w:val="00CE5337"/>
    <w:rsid w:val="00CE7FA3"/>
    <w:rsid w:val="00CF22EE"/>
    <w:rsid w:val="00CF3F1E"/>
    <w:rsid w:val="00CF6915"/>
    <w:rsid w:val="00CF6A2C"/>
    <w:rsid w:val="00CF6F01"/>
    <w:rsid w:val="00D14309"/>
    <w:rsid w:val="00D23CAE"/>
    <w:rsid w:val="00D23EBE"/>
    <w:rsid w:val="00D33DD6"/>
    <w:rsid w:val="00D37CC7"/>
    <w:rsid w:val="00D4456F"/>
    <w:rsid w:val="00D5665F"/>
    <w:rsid w:val="00D63B3D"/>
    <w:rsid w:val="00D67FB0"/>
    <w:rsid w:val="00D7029A"/>
    <w:rsid w:val="00D706DE"/>
    <w:rsid w:val="00D74B32"/>
    <w:rsid w:val="00D8198F"/>
    <w:rsid w:val="00D82117"/>
    <w:rsid w:val="00D849C2"/>
    <w:rsid w:val="00D8747F"/>
    <w:rsid w:val="00DA1724"/>
    <w:rsid w:val="00DB040E"/>
    <w:rsid w:val="00DB4E1B"/>
    <w:rsid w:val="00DB63E6"/>
    <w:rsid w:val="00DC141F"/>
    <w:rsid w:val="00DD26FE"/>
    <w:rsid w:val="00DD7E8C"/>
    <w:rsid w:val="00DE0F8D"/>
    <w:rsid w:val="00DE1D56"/>
    <w:rsid w:val="00DE3D13"/>
    <w:rsid w:val="00DF05DC"/>
    <w:rsid w:val="00DF3CEE"/>
    <w:rsid w:val="00E02F43"/>
    <w:rsid w:val="00E04B3F"/>
    <w:rsid w:val="00E1151D"/>
    <w:rsid w:val="00E25252"/>
    <w:rsid w:val="00E32439"/>
    <w:rsid w:val="00E54F1A"/>
    <w:rsid w:val="00E60ACA"/>
    <w:rsid w:val="00E67863"/>
    <w:rsid w:val="00E722CD"/>
    <w:rsid w:val="00E743D0"/>
    <w:rsid w:val="00EA0925"/>
    <w:rsid w:val="00EA126D"/>
    <w:rsid w:val="00EA1FA7"/>
    <w:rsid w:val="00EA63AD"/>
    <w:rsid w:val="00EA6953"/>
    <w:rsid w:val="00EA7B1F"/>
    <w:rsid w:val="00EB015C"/>
    <w:rsid w:val="00EB01B6"/>
    <w:rsid w:val="00EB40BF"/>
    <w:rsid w:val="00EC7099"/>
    <w:rsid w:val="00ED6D56"/>
    <w:rsid w:val="00EF271A"/>
    <w:rsid w:val="00EF3393"/>
    <w:rsid w:val="00F00930"/>
    <w:rsid w:val="00F0564F"/>
    <w:rsid w:val="00F05A45"/>
    <w:rsid w:val="00F063DA"/>
    <w:rsid w:val="00F067EC"/>
    <w:rsid w:val="00F123D8"/>
    <w:rsid w:val="00F13B51"/>
    <w:rsid w:val="00F23223"/>
    <w:rsid w:val="00F23FCD"/>
    <w:rsid w:val="00F26F23"/>
    <w:rsid w:val="00F34082"/>
    <w:rsid w:val="00F452D9"/>
    <w:rsid w:val="00F617A1"/>
    <w:rsid w:val="00F628F1"/>
    <w:rsid w:val="00F62C80"/>
    <w:rsid w:val="00F67C2E"/>
    <w:rsid w:val="00F713B6"/>
    <w:rsid w:val="00F723AF"/>
    <w:rsid w:val="00F873A0"/>
    <w:rsid w:val="00FA0A1D"/>
    <w:rsid w:val="00FA254A"/>
    <w:rsid w:val="00FA2CE0"/>
    <w:rsid w:val="00FB264D"/>
    <w:rsid w:val="00FB6954"/>
    <w:rsid w:val="00FC1598"/>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722D"/>
  <w15:chartTrackingRefBased/>
  <w15:docId w15:val="{EB11E8A9-459B-4B45-AF2D-4A3CD59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A742B9"/>
    <w:pPr>
      <w:ind w:left="720"/>
      <w:contextualSpacing/>
    </w:pPr>
  </w:style>
  <w:style w:type="paragraph" w:styleId="Header">
    <w:name w:val="header"/>
    <w:basedOn w:val="Normal"/>
    <w:link w:val="HeaderChar"/>
    <w:uiPriority w:val="99"/>
    <w:unhideWhenUsed/>
    <w:rsid w:val="00707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23"/>
    <w:rPr>
      <w:rFonts w:ascii="Times New Roman" w:eastAsiaTheme="minorEastAsia" w:hAnsi="Times New Roman"/>
      <w:sz w:val="24"/>
    </w:rPr>
  </w:style>
  <w:style w:type="paragraph" w:styleId="Footer">
    <w:name w:val="footer"/>
    <w:basedOn w:val="Normal"/>
    <w:link w:val="FooterChar"/>
    <w:uiPriority w:val="99"/>
    <w:unhideWhenUsed/>
    <w:rsid w:val="00707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23"/>
    <w:rPr>
      <w:rFonts w:ascii="Times New Roman" w:eastAsiaTheme="minorEastAsia" w:hAnsi="Times New Roman"/>
      <w:sz w:val="24"/>
    </w:rPr>
  </w:style>
  <w:style w:type="paragraph" w:styleId="NormalWeb">
    <w:name w:val="Normal (Web)"/>
    <w:basedOn w:val="Normal"/>
    <w:uiPriority w:val="99"/>
    <w:semiHidden/>
    <w:unhideWhenUsed/>
    <w:rsid w:val="0012427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24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154921">
      <w:bodyDiv w:val="1"/>
      <w:marLeft w:val="0"/>
      <w:marRight w:val="0"/>
      <w:marTop w:val="0"/>
      <w:marBottom w:val="0"/>
      <w:divBdr>
        <w:top w:val="none" w:sz="0" w:space="0" w:color="auto"/>
        <w:left w:val="none" w:sz="0" w:space="0" w:color="auto"/>
        <w:bottom w:val="none" w:sz="0" w:space="0" w:color="auto"/>
        <w:right w:val="none" w:sz="0" w:space="0" w:color="auto"/>
      </w:divBdr>
    </w:div>
    <w:div w:id="20082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2021-03-06T02:23:00Z</dcterms:created>
  <dcterms:modified xsi:type="dcterms:W3CDTF">2021-03-06T02:23:00Z</dcterms:modified>
</cp:coreProperties>
</file>